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390" w:leader="none"/>
          <w:tab w:val="left" w:pos="4740" w:leader="none"/>
        </w:tabs>
        <w:rPr/>
      </w:pPr>
      <w:r>
        <w:rPr/>
        <w:t xml:space="preserve">                                                                    </w:t>
      </w:r>
      <w:r>
        <w:rPr/>
        <w:tab/>
      </w:r>
    </w:p>
    <w:p>
      <w:pPr>
        <w:pStyle w:val="Normal"/>
        <w:keepNext w:val="true"/>
        <w:keepLines/>
        <w:numPr>
          <w:ilvl w:val="0"/>
          <w:numId w:val="0"/>
        </w:numPr>
        <w:spacing w:before="40" w:after="0"/>
        <w:ind w:hanging="0" w:left="0"/>
        <w:jc w:val="center"/>
        <w:outlineLvl w:val="1"/>
        <w:rPr>
          <w:rFonts w:ascii="Times New Roman" w:hAnsi="Times New Roman" w:eastAsia="" w:cs="Times New Roman" w:eastAsiaTheme="majorEastAsia"/>
          <w:color w:themeColor="accent1" w:themeShade="bf" w:val="2E74B5"/>
          <w:sz w:val="26"/>
          <w:szCs w:val="26"/>
        </w:rPr>
      </w:pPr>
      <w:r>
        <w:rPr/>
        <w:drawing>
          <wp:inline distT="0" distB="0" distL="0" distR="0">
            <wp:extent cx="1030605" cy="1097280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05" cy="1097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keepNext w:val="true"/>
        <w:keepLines/>
        <w:numPr>
          <w:ilvl w:val="0"/>
          <w:numId w:val="0"/>
        </w:numPr>
        <w:spacing w:before="40" w:after="0"/>
        <w:ind w:hanging="0" w:left="0"/>
        <w:jc w:val="center"/>
        <w:outlineLvl w:val="1"/>
        <w:rPr>
          <w:rFonts w:ascii="Times New Roman" w:hAnsi="Times New Roman" w:eastAsia="" w:cs="Times New Roman" w:eastAsiaTheme="majorEastAsia"/>
          <w:color w:themeColor="accent1" w:themeShade="bf" w:val="2E74B5"/>
          <w:sz w:val="26"/>
          <w:szCs w:val="26"/>
        </w:rPr>
      </w:pPr>
      <w:r>
        <w:rPr>
          <w:rFonts w:eastAsia="" w:cs="Times New Roman" w:eastAsiaTheme="majorEastAsia" w:ascii="Times New Roman" w:hAnsi="Times New Roman"/>
          <w:color w:themeColor="accent1" w:themeShade="bf" w:val="2E74B5"/>
          <w:sz w:val="26"/>
          <w:szCs w:val="26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before="40" w:after="0"/>
        <w:ind w:hanging="0" w:left="0"/>
        <w:jc w:val="center"/>
        <w:outlineLvl w:val="1"/>
        <w:rPr>
          <w:rFonts w:ascii="Times New Roman" w:hAnsi="Times New Roman" w:eastAsia="" w:cs="Times New Roman" w:eastAsiaTheme="majorEastAsia"/>
          <w:color w:themeColor="accent1" w:themeShade="bf" w:val="2E74B5"/>
          <w:sz w:val="32"/>
          <w:szCs w:val="32"/>
        </w:rPr>
      </w:pPr>
      <w:r>
        <w:rPr>
          <w:rFonts w:eastAsia="" w:cs="Times New Roman" w:ascii="Times New Roman" w:hAnsi="Times New Roman" w:eastAsiaTheme="majorEastAsia"/>
          <w:color w:themeColor="accent1" w:themeShade="bf" w:val="2E74B5"/>
          <w:sz w:val="32"/>
          <w:szCs w:val="32"/>
        </w:rPr>
        <w:t>ПРОКУРАТУРА</w:t>
      </w:r>
    </w:p>
    <w:p>
      <w:pPr>
        <w:pStyle w:val="Normal"/>
        <w:keepNext w:val="true"/>
        <w:keepLines/>
        <w:numPr>
          <w:ilvl w:val="0"/>
          <w:numId w:val="0"/>
        </w:numPr>
        <w:spacing w:before="40" w:after="0"/>
        <w:ind w:hanging="0" w:left="0"/>
        <w:jc w:val="center"/>
        <w:outlineLvl w:val="1"/>
        <w:rPr>
          <w:rFonts w:ascii="Times New Roman" w:hAnsi="Times New Roman" w:eastAsia="" w:cs="Times New Roman" w:eastAsiaTheme="majorEastAsia"/>
          <w:color w:themeColor="accent1" w:themeShade="bf" w:val="2E74B5"/>
          <w:sz w:val="32"/>
          <w:szCs w:val="32"/>
        </w:rPr>
      </w:pPr>
      <w:r>
        <w:rPr>
          <w:rFonts w:eastAsia="" w:cs="Times New Roman" w:ascii="Times New Roman" w:hAnsi="Times New Roman" w:eastAsiaTheme="majorEastAsia"/>
          <w:color w:themeColor="accent1" w:themeShade="bf" w:val="2E74B5"/>
          <w:sz w:val="32"/>
          <w:szCs w:val="32"/>
        </w:rPr>
        <w:t>АЛАРСКОГО РАЙОНА</w:t>
      </w:r>
    </w:p>
    <w:p>
      <w:pPr>
        <w:pStyle w:val="Normal"/>
        <w:keepNext w:val="true"/>
        <w:keepLines/>
        <w:numPr>
          <w:ilvl w:val="0"/>
          <w:numId w:val="0"/>
        </w:numPr>
        <w:spacing w:before="240" w:after="0"/>
        <w:ind w:hanging="0" w:left="0"/>
        <w:jc w:val="center"/>
        <w:outlineLvl w:val="0"/>
        <w:rPr>
          <w:rFonts w:ascii="Calibri Light" w:hAnsi="Calibri Light" w:eastAsia="" w:cs="" w:asciiTheme="majorHAnsi" w:cstheme="majorBidi" w:eastAsiaTheme="majorEastAsia" w:hAnsiTheme="majorHAnsi"/>
          <w:color w:themeColor="accent1" w:themeShade="bf" w:val="2E74B5"/>
          <w:sz w:val="32"/>
          <w:szCs w:val="32"/>
        </w:rPr>
      </w:pPr>
      <w:r>
        <w:rPr>
          <w:rFonts w:eastAsia="" w:cs="Times New Roman" w:ascii="Times New Roman" w:hAnsi="Times New Roman" w:eastAsiaTheme="majorEastAsia"/>
          <w:color w:themeColor="accent1" w:themeShade="bf" w:val="2E74B5"/>
          <w:sz w:val="48"/>
          <w:szCs w:val="48"/>
        </w:rPr>
        <w:t>Р А З Ъ Я С Н Я Е Т: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center"/>
        <w:rPr>
          <w:b/>
          <w:bCs/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8"/>
          <w:szCs w:val="28"/>
        </w:rPr>
        <w:t>О мерах пожарной безопасности в новогодние праздники</w:t>
      </w:r>
    </w:p>
    <w:p>
      <w:pPr>
        <w:pStyle w:val="Normal"/>
        <w:spacing w:lineRule="auto" w:line="240" w:before="0" w:after="0"/>
        <w:ind w:firstLine="709"/>
        <w:jc w:val="both"/>
        <w:rPr>
          <w:color w:val="auto"/>
        </w:rPr>
      </w:pPr>
      <w:r>
        <w:rPr>
          <w:color w:val="auto"/>
        </w:rPr>
      </w:r>
    </w:p>
    <w:p>
      <w:pPr>
        <w:pStyle w:val="Normal"/>
        <w:spacing w:lineRule="auto" w:line="240" w:before="0" w:after="0"/>
        <w:ind w:firstLine="709"/>
        <w:jc w:val="both"/>
        <w:rPr>
          <w:color w:val="auto"/>
        </w:rPr>
      </w:pPr>
      <w:r>
        <w:rPr>
          <w:rFonts w:cs="Times New Roman" w:ascii="Times New Roman" w:hAnsi="Times New Roman"/>
          <w:color w:val="auto"/>
          <w:sz w:val="28"/>
          <w:szCs w:val="28"/>
        </w:rPr>
        <w:t>В связи с предстоящими новогодними и рождественскими праздниками прокуратура напоминает о необходимости соблюдать требования законодательства в сфере пожарной безопасности.</w:t>
      </w:r>
    </w:p>
    <w:p>
      <w:pPr>
        <w:pStyle w:val="Normal"/>
        <w:spacing w:lineRule="auto" w:line="240" w:before="0" w:after="0"/>
        <w:ind w:firstLine="709"/>
        <w:jc w:val="both"/>
        <w:rPr>
          <w:color w:val="auto"/>
        </w:rPr>
      </w:pPr>
      <w:r>
        <w:rPr>
          <w:rFonts w:cs="Times New Roman" w:ascii="Times New Roman" w:hAnsi="Times New Roman"/>
          <w:color w:val="auto"/>
          <w:sz w:val="28"/>
          <w:szCs w:val="28"/>
        </w:rPr>
        <w:t xml:space="preserve">В частности, в силу п.73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8"/>
          <w:szCs w:val="28"/>
        </w:rPr>
        <w:t>Правил противопожарного режима в Российской Федерации</w:t>
      </w:r>
      <w:r>
        <w:rPr>
          <w:rFonts w:cs="Times New Roman" w:ascii="Times New Roman" w:hAnsi="Times New Roman"/>
          <w:color w:val="auto"/>
          <w:sz w:val="28"/>
          <w:szCs w:val="28"/>
        </w:rPr>
        <w:t xml:space="preserve">, утвержденных Постановлением Правительства РФ от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8"/>
          <w:szCs w:val="28"/>
        </w:rPr>
        <w:t>16.09.2020 № 1479</w:t>
      </w:r>
      <w:r>
        <w:rPr>
          <w:rFonts w:cs="Times New Roman" w:ascii="Times New Roman" w:hAnsi="Times New Roman"/>
          <w:color w:val="auto"/>
          <w:sz w:val="28"/>
          <w:szCs w:val="28"/>
        </w:rPr>
        <w:t xml:space="preserve"> запрещается на территории поселений и городских округов, а также на расстоянии менее 1000 метров от лесных массивов запускать неуправляемые изделия из горючих материалов, принцип подъема которых на высоту основан на нагревании воздуха внутри конструкции с помощью открытого огня, так называемые «китайские фонарики».</w:t>
      </w:r>
    </w:p>
    <w:p>
      <w:pPr>
        <w:pStyle w:val="Normal"/>
        <w:spacing w:lineRule="auto" w:line="240" w:before="0" w:after="0"/>
        <w:ind w:firstLine="709"/>
        <w:jc w:val="both"/>
        <w:rPr>
          <w:color w:val="auto"/>
        </w:rPr>
      </w:pPr>
      <w:r>
        <w:rPr>
          <w:rFonts w:cs="Times New Roman" w:ascii="Times New Roman" w:hAnsi="Times New Roman"/>
          <w:color w:val="auto"/>
          <w:sz w:val="28"/>
          <w:szCs w:val="28"/>
        </w:rPr>
        <w:t>При проведении новогодних утренников, праздников, корпоративных мероприятий с массовым пребыванием людей в помещениях запрещается:</w:t>
      </w:r>
    </w:p>
    <w:p>
      <w:pPr>
        <w:pStyle w:val="Normal"/>
        <w:spacing w:lineRule="auto" w:line="240" w:before="0" w:after="0"/>
        <w:ind w:firstLine="709"/>
        <w:jc w:val="both"/>
        <w:rPr>
          <w:color w:val="auto"/>
        </w:rPr>
      </w:pPr>
      <w:r>
        <w:rPr>
          <w:rFonts w:cs="Times New Roman" w:ascii="Times New Roman" w:hAnsi="Times New Roman"/>
          <w:color w:val="auto"/>
          <w:sz w:val="28"/>
          <w:szCs w:val="28"/>
        </w:rPr>
        <w:t>- применять пиротехнические изделия, дуговые прожекторы, а также открытый огонь и свечи;</w:t>
      </w:r>
    </w:p>
    <w:p>
      <w:pPr>
        <w:pStyle w:val="Normal"/>
        <w:spacing w:lineRule="auto" w:line="240" w:before="0" w:after="0"/>
        <w:ind w:firstLine="709"/>
        <w:jc w:val="both"/>
        <w:rPr>
          <w:color w:val="auto"/>
        </w:rPr>
      </w:pPr>
      <w:r>
        <w:rPr>
          <w:rFonts w:cs="Times New Roman" w:ascii="Times New Roman" w:hAnsi="Times New Roman"/>
          <w:color w:val="auto"/>
          <w:sz w:val="28"/>
          <w:szCs w:val="28"/>
        </w:rPr>
        <w:t>- украшать елку марлей и ватой, не пропитанными огнезащитными составами, а также использовать для украшения целлулоидные и другие легковоспламеняющиеся игрушки, и украшения;</w:t>
      </w:r>
    </w:p>
    <w:p>
      <w:pPr>
        <w:pStyle w:val="Normal"/>
        <w:spacing w:lineRule="auto" w:line="240" w:before="0" w:after="0"/>
        <w:ind w:firstLine="709"/>
        <w:jc w:val="both"/>
        <w:rPr>
          <w:color w:val="auto"/>
        </w:rPr>
      </w:pPr>
      <w:r>
        <w:rPr>
          <w:rFonts w:cs="Times New Roman" w:ascii="Times New Roman" w:hAnsi="Times New Roman"/>
          <w:color w:val="auto"/>
          <w:sz w:val="28"/>
          <w:szCs w:val="28"/>
        </w:rPr>
        <w:t>- применять для иллюминации елки свечи, бенгальские огни, фейерверки и т. п.;</w:t>
      </w:r>
    </w:p>
    <w:p>
      <w:pPr>
        <w:pStyle w:val="Normal"/>
        <w:spacing w:lineRule="auto" w:line="240" w:before="0" w:after="0"/>
        <w:ind w:firstLine="709"/>
        <w:jc w:val="both"/>
        <w:rPr>
          <w:color w:val="auto"/>
        </w:rPr>
      </w:pPr>
      <w:r>
        <w:rPr>
          <w:rFonts w:cs="Times New Roman" w:ascii="Times New Roman" w:hAnsi="Times New Roman"/>
          <w:color w:val="auto"/>
          <w:sz w:val="28"/>
          <w:szCs w:val="28"/>
        </w:rPr>
        <w:t>- проводить перед началом или во время представлений огневые, покрасочные и другие пожароопасные и пожаровзрывоопасные работы;</w:t>
      </w:r>
    </w:p>
    <w:p>
      <w:pPr>
        <w:pStyle w:val="Normal"/>
        <w:spacing w:lineRule="auto" w:line="240" w:before="0" w:after="0"/>
        <w:ind w:firstLine="709"/>
        <w:jc w:val="both"/>
        <w:rPr>
          <w:color w:val="auto"/>
        </w:rPr>
      </w:pPr>
      <w:r>
        <w:rPr>
          <w:rFonts w:cs="Times New Roman" w:ascii="Times New Roman" w:hAnsi="Times New Roman"/>
          <w:color w:val="auto"/>
          <w:sz w:val="28"/>
          <w:szCs w:val="28"/>
        </w:rPr>
        <w:t>- уменьшать ширину проходов между рядами и устанавливать в проходах дополнительные кресла, стулья и др.;</w:t>
      </w:r>
    </w:p>
    <w:p>
      <w:pPr>
        <w:pStyle w:val="Normal"/>
        <w:spacing w:lineRule="auto" w:line="240" w:before="0" w:after="0"/>
        <w:ind w:firstLine="709"/>
        <w:jc w:val="both"/>
        <w:rPr>
          <w:color w:val="auto"/>
        </w:rPr>
      </w:pPr>
      <w:r>
        <w:rPr>
          <w:rFonts w:cs="Times New Roman" w:ascii="Times New Roman" w:hAnsi="Times New Roman"/>
          <w:color w:val="auto"/>
          <w:sz w:val="28"/>
          <w:szCs w:val="28"/>
        </w:rPr>
        <w:t>- полностью гасить свет в помещении во время спектаклей или представлений;</w:t>
      </w:r>
    </w:p>
    <w:p>
      <w:pPr>
        <w:pStyle w:val="Normal"/>
        <w:spacing w:lineRule="auto" w:line="240" w:before="0" w:after="0"/>
        <w:ind w:firstLine="709"/>
        <w:jc w:val="both"/>
        <w:rPr>
          <w:color w:val="auto"/>
        </w:rPr>
      </w:pPr>
      <w:r>
        <w:rPr>
          <w:rFonts w:cs="Times New Roman" w:ascii="Times New Roman" w:hAnsi="Times New Roman"/>
          <w:color w:val="auto"/>
          <w:sz w:val="28"/>
          <w:szCs w:val="28"/>
        </w:rPr>
        <w:t>- хранить бензин, керосин и другие легковоспламеняющиеся и горючие жидкости;</w:t>
      </w:r>
    </w:p>
    <w:p>
      <w:pPr>
        <w:pStyle w:val="Normal"/>
        <w:spacing w:lineRule="auto" w:line="240" w:before="0" w:after="0"/>
        <w:ind w:firstLine="709"/>
        <w:jc w:val="both"/>
        <w:rPr>
          <w:color w:val="auto"/>
        </w:rPr>
      </w:pPr>
      <w:r>
        <w:rPr>
          <w:color w:val="auto"/>
        </w:rPr>
      </w:r>
    </w:p>
    <w:p>
      <w:pPr>
        <w:pStyle w:val="Normal"/>
        <w:spacing w:lineRule="auto" w:line="240" w:before="0" w:after="0"/>
        <w:ind w:firstLine="709"/>
        <w:jc w:val="both"/>
        <w:rPr>
          <w:color w:val="auto"/>
        </w:rPr>
      </w:pPr>
      <w:r>
        <w:rPr>
          <w:rFonts w:cs="Times New Roman" w:ascii="Times New Roman" w:hAnsi="Times New Roman"/>
          <w:color w:val="auto"/>
          <w:sz w:val="28"/>
          <w:szCs w:val="28"/>
        </w:rPr>
        <w:t>- допускать нарушения установленных норм заполнения помещений людьми.</w:t>
      </w:r>
    </w:p>
    <w:p>
      <w:pPr>
        <w:pStyle w:val="Normal"/>
        <w:spacing w:lineRule="auto" w:line="240" w:before="0" w:after="0"/>
        <w:ind w:firstLine="709"/>
        <w:jc w:val="both"/>
        <w:rPr>
          <w:color w:val="auto"/>
        </w:rPr>
      </w:pPr>
      <w:r>
        <w:rPr>
          <w:rFonts w:cs="Times New Roman" w:ascii="Times New Roman" w:hAnsi="Times New Roman"/>
          <w:color w:val="auto"/>
          <w:sz w:val="28"/>
          <w:szCs w:val="28"/>
        </w:rPr>
        <w:t xml:space="preserve">За нарушение названных норм Правил противопожарного режима предусмотрена административная ответственность по ст.20.4 КоАП РФ в виде штрафа на граждан в размере до пятнадцати тысяч рублей; на должностных лиц -до тридцати тысяч рублей; </w:t>
      </w:r>
      <w:r>
        <w:rPr>
          <w:rFonts w:cs="Times New Roman" w:ascii="Times New Roman" w:hAnsi="Times New Roman"/>
          <w:b w:val="false"/>
          <w:color w:val="auto"/>
          <w:sz w:val="28"/>
          <w:szCs w:val="28"/>
        </w:rPr>
        <w:t xml:space="preserve">на лиц, осуществляющих предпринимательскую деятельность без образования юридического лица до шестидесяти тысяч рублей; </w:t>
      </w:r>
      <w:r>
        <w:rPr>
          <w:rFonts w:cs="Times New Roman" w:ascii="Times New Roman" w:hAnsi="Times New Roman"/>
          <w:color w:val="auto"/>
          <w:sz w:val="28"/>
          <w:szCs w:val="28"/>
        </w:rPr>
        <w:t>на юридических лиц - до четырёхсот тысяч рублей.</w:t>
      </w:r>
    </w:p>
    <w:p>
      <w:pPr>
        <w:pStyle w:val="Normal"/>
        <w:spacing w:lineRule="auto" w:line="240" w:before="0" w:after="0"/>
        <w:ind w:firstLine="709"/>
        <w:jc w:val="both"/>
        <w:rPr>
          <w:bCs/>
          <w:color w:val="auto"/>
          <w:sz w:val="28"/>
          <w:szCs w:val="28"/>
          <w:shd w:fill="FFFFFF" w:val="clear"/>
        </w:rPr>
      </w:pPr>
      <w:r>
        <w:rPr>
          <w:bCs/>
          <w:color w:val="000000"/>
          <w:sz w:val="28"/>
          <w:szCs w:val="28"/>
          <w:shd w:fill="FFFFFF" w:val="clear"/>
        </w:rPr>
      </w:r>
    </w:p>
    <w:p>
      <w:pPr>
        <w:pStyle w:val="NormalWeb"/>
        <w:shd w:val="clear" w:color="auto" w:fill="FFFFFF"/>
        <w:spacing w:beforeAutospacing="0" w:before="0" w:afterAutospacing="0" w:after="0"/>
        <w:ind w:firstLine="709"/>
        <w:jc w:val="both"/>
        <w:rPr>
          <w:color w:val="auto"/>
        </w:rPr>
      </w:pPr>
      <w:r>
        <w:rPr>
          <w:bCs/>
          <w:color w:val="000000"/>
          <w:sz w:val="28"/>
          <w:szCs w:val="28"/>
          <w:shd w:fill="FFFFFF" w:val="clear"/>
        </w:rPr>
        <w:t xml:space="preserve"> </w:t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rPr>
          <w:color w:val="auto"/>
        </w:rPr>
      </w:pPr>
      <w:r>
        <w:rPr>
          <w:bCs/>
          <w:color w:val="000000"/>
          <w:sz w:val="28"/>
          <w:szCs w:val="28"/>
          <w:shd w:fill="FFFFFF" w:val="clear"/>
        </w:rPr>
        <w:t xml:space="preserve">Помощник прокурора района      </w:t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rPr>
          <w:color w:val="auto"/>
        </w:rPr>
      </w:pPr>
      <w:r>
        <w:rPr>
          <w:color w:val="auto"/>
        </w:rPr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rPr>
          <w:color w:val="auto"/>
        </w:rPr>
      </w:pPr>
      <w:r>
        <w:rPr>
          <w:bCs/>
          <w:color w:val="000000"/>
          <w:sz w:val="28"/>
          <w:szCs w:val="28"/>
          <w:shd w:fill="FFFFFF" w:val="clear"/>
        </w:rPr>
        <w:t>юрист 3 класса</w:t>
        <w:tab/>
        <w:tab/>
        <w:t xml:space="preserve">    </w:t>
        <w:tab/>
        <w:t xml:space="preserve">                                                    А.А. Мингудинов</w:t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rPr>
          <w:b/>
          <w:bCs/>
          <w:color w:val="auto"/>
          <w:sz w:val="28"/>
          <w:szCs w:val="28"/>
          <w:shd w:fill="FFFFFF" w:val="clear"/>
        </w:rPr>
      </w:pPr>
      <w:r>
        <w:rPr>
          <w:b/>
          <w:bCs/>
          <w:color w:val="000000"/>
          <w:sz w:val="28"/>
          <w:szCs w:val="28"/>
          <w:shd w:fill="FFFFFF" w:val="clear"/>
        </w:rPr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bCs/>
          <w:color w:val="auto"/>
          <w:sz w:val="28"/>
          <w:szCs w:val="28"/>
          <w:shd w:fill="FFFFFF" w:val="clear"/>
        </w:rPr>
      </w:pPr>
      <w:r>
        <w:rPr>
          <w:bCs/>
          <w:color w:val="000000"/>
          <w:sz w:val="28"/>
          <w:szCs w:val="28"/>
          <w:shd w:fill="FFFFFF" w:val="clear"/>
        </w:rPr>
      </w:r>
    </w:p>
    <w:p>
      <w:pPr>
        <w:pStyle w:val="Normal"/>
        <w:jc w:val="both"/>
        <w:rPr>
          <w:color w:val="auto"/>
          <w:lang w:eastAsia="ru-RU"/>
        </w:rPr>
      </w:pPr>
      <w:r>
        <w:rPr>
          <w:color w:val="auto"/>
          <w:lang w:eastAsia="ru-RU"/>
        </w:rPr>
      </w:r>
    </w:p>
    <w:p>
      <w:pPr>
        <w:pStyle w:val="Normal"/>
        <w:spacing w:before="0" w:after="160"/>
        <w:jc w:val="both"/>
        <w:rPr>
          <w:color w:val="auto"/>
          <w:lang w:eastAsia="ru-RU"/>
        </w:rPr>
      </w:pPr>
      <w:r>
        <w:rPr>
          <w:color w:val="auto"/>
          <w:lang w:eastAsia="ru-RU"/>
        </w:rPr>
      </w:r>
    </w:p>
    <w:sectPr>
      <w:type w:val="nextPage"/>
      <w:pgSz w:w="11906" w:h="16838"/>
      <w:pgMar w:left="1701" w:right="850" w:gutter="0" w:header="0" w:top="993" w:footer="0" w:bottom="1276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131f2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234d7c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34d7c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6f1454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2" w:customStyle="1">
    <w:name w:val="Заголовок 2 Знак"/>
    <w:basedOn w:val="DefaultParagraphFont"/>
    <w:uiPriority w:val="9"/>
    <w:qFormat/>
    <w:rsid w:val="00234d7c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character" w:styleId="1" w:customStyle="1">
    <w:name w:val="Заголовок 1 Знак"/>
    <w:basedOn w:val="DefaultParagraphFont"/>
    <w:uiPriority w:val="9"/>
    <w:qFormat/>
    <w:rsid w:val="00234d7c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6f1454"/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blk" w:customStyle="1">
    <w:name w:val="blk"/>
    <w:basedOn w:val="DefaultParagraphFont"/>
    <w:qFormat/>
    <w:rsid w:val="006a367f"/>
    <w:rPr/>
  </w:style>
  <w:style w:type="character" w:styleId="InternetLink">
    <w:name w:val="Internet Link"/>
    <w:basedOn w:val="DefaultParagraphFont"/>
    <w:uiPriority w:val="99"/>
    <w:unhideWhenUsed/>
    <w:qFormat/>
    <w:rsid w:val="006a367f"/>
    <w:rPr>
      <w:color w:val="0000FF"/>
      <w:u w:val="single"/>
    </w:rPr>
  </w:style>
  <w:style w:type="character" w:styleId="hl" w:customStyle="1">
    <w:name w:val="hl"/>
    <w:basedOn w:val="DefaultParagraphFont"/>
    <w:qFormat/>
    <w:rsid w:val="00a61bc3"/>
    <w:rPr/>
  </w:style>
  <w:style w:type="character" w:styleId="nobr" w:customStyle="1">
    <w:name w:val="nobr"/>
    <w:basedOn w:val="DefaultParagraphFont"/>
    <w:qFormat/>
    <w:rsid w:val="00a61bc3"/>
    <w:rPr/>
  </w:style>
  <w:style w:type="character" w:styleId="feeds-pagenavigationicon" w:customStyle="1">
    <w:name w:val="feeds-page__navigation_icon"/>
    <w:basedOn w:val="DefaultParagraphFont"/>
    <w:qFormat/>
    <w:rsid w:val="0009021e"/>
    <w:rPr/>
  </w:style>
  <w:style w:type="character" w:styleId="feeds-pagenavigationtooltip" w:customStyle="1">
    <w:name w:val="feeds-page__navigation_tooltip"/>
    <w:basedOn w:val="DefaultParagraphFont"/>
    <w:qFormat/>
    <w:rsid w:val="0009021e"/>
    <w:rPr/>
  </w:style>
  <w:style w:type="character" w:styleId="Style11" w:customStyle="1">
    <w:name w:val="Текст выноски Знак"/>
    <w:basedOn w:val="DefaultParagraphFont"/>
    <w:link w:val="BalloonText"/>
    <w:uiPriority w:val="99"/>
    <w:semiHidden/>
    <w:qFormat/>
    <w:rsid w:val="00835e26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1a56ac"/>
    <w:rPr>
      <w:color w:val="605E5C"/>
      <w:shd w:fill="E1DFDD" w:val="clear"/>
    </w:rPr>
  </w:style>
  <w:style w:type="character" w:styleId="InternetLink1">
    <w:name w:val="Internet Link1"/>
    <w:qFormat/>
    <w:rPr>
      <w:color w:val="000080"/>
      <w:u w:val="single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Droid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Droid Sans"/>
    </w:rPr>
  </w:style>
  <w:style w:type="paragraph" w:styleId="formattext" w:customStyle="1">
    <w:name w:val="formattext"/>
    <w:basedOn w:val="Normal"/>
    <w:qFormat/>
    <w:rsid w:val="006f145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unhideWhenUsed/>
    <w:qFormat/>
    <w:rsid w:val="0075202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Style11"/>
    <w:uiPriority w:val="99"/>
    <w:semiHidden/>
    <w:unhideWhenUsed/>
    <w:qFormat/>
    <w:rsid w:val="00835e26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Style14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Application>LibreOffice/24.8.7.2$Linux_X86_64 LibreOffice_project/480$Build-2</Application>
  <AppVersion>15.0000</AppVersion>
  <Pages>2</Pages>
  <Words>281</Words>
  <Characters>1843</Characters>
  <CharactersWithSpaces>2240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2025-03-24T13:54:00Z</dcterms:created>
  <dc:creator>Алексей</dc:creator>
  <dc:description/>
  <dc:language>ru-RU</dc:language>
  <cp:lastModifiedBy/>
  <cp:lastPrinted>2025-06-25T10:17:00Z</cp:lastPrinted>
  <dcterms:modified xsi:type="dcterms:W3CDTF">2025-12-15T22:53:47Z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